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C53F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C53FE" w:rsidRDefault="00551D1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C53FE" w:rsidRDefault="00551D15">
            <w:pPr>
              <w:spacing w:after="0" w:line="240" w:lineRule="auto"/>
            </w:pPr>
            <w:r>
              <w:t>50008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C53FE" w:rsidRDefault="00551D1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C53FE" w:rsidRDefault="00551D15">
            <w:pPr>
              <w:spacing w:after="0" w:line="240" w:lineRule="auto"/>
            </w:pPr>
            <w:r>
              <w:t>CENTAR ZA AUTIZAM RIJEKA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C53FE" w:rsidRDefault="00551D1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C53FE" w:rsidRDefault="00551D15">
            <w:pPr>
              <w:spacing w:after="0" w:line="240" w:lineRule="auto"/>
            </w:pPr>
            <w:r>
              <w:t>31</w:t>
            </w:r>
          </w:p>
        </w:tc>
      </w:tr>
    </w:tbl>
    <w:p w:rsidR="001C53FE" w:rsidRDefault="00551D15">
      <w:r>
        <w:br/>
      </w:r>
    </w:p>
    <w:p w:rsidR="001C53FE" w:rsidRDefault="00551D1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C53FE" w:rsidRDefault="00551D1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C53FE" w:rsidRDefault="00551D1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1.411.903,82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1.808.360,50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128,1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1.359.748,24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1.972.695,09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1C5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164.334,59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46.197,06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30.613,32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66,3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1C5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46.197,06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30.613,32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66,3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1C5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1C5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194.947,91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U financijskim izvještajima za 2025. godinu iskazani su prihodi poslovanja (razred 6) u iznosu od 1.808.360,50 EUR, što predstavlja povećanje od 28,1 % u odnosu na 2024. godinu, kada su ostvareni u iznosu od 1.411.903,82 EUR. Povećanje prihoda poslovanja p</w:t>
      </w:r>
      <w:r>
        <w:t>rvenstveno se odnosi na veći iznos pomoći iz državnog proračuna i pomoći temeljem prijenosa EU sredstava, kao i na povećane prihode iz nadležnog proračuna, a u skladu s povećanim opsegom aktivnosti ustanove tijekom izvještajne godine.</w:t>
      </w:r>
    </w:p>
    <w:p w:rsidR="001C53FE" w:rsidRDefault="00551D15">
      <w:pPr>
        <w:jc w:val="both"/>
      </w:pPr>
      <w:r>
        <w:lastRenderedPageBreak/>
        <w:t>Rashodi poslovanja (r</w:t>
      </w:r>
      <w:r>
        <w:t>azred 3) u 2025. godini ostvareni su u iznosu od 1.972.695,09 EUR, što predstavlja povećanje od 45,1 % u odnosu na prethodnu godinu, kada su iznosili 1.359.748,24 EUR. Najznačajniji dio povećanja odnosi se na rashode za zaposlene, koji su porasli za 43,5 %</w:t>
      </w:r>
      <w:r>
        <w:t>. Uz povećani opseg poslovanja, rast rashoda za zaposlene u značajnoj je mjeri posljedica promjene u načinu evidentiranja rashoda sukladno važećem Računskom planu, prema kojem su u 2025. godini rashodi za zaposlene evidentirani za 13 obračunskih razdoblja,</w:t>
      </w:r>
      <w:r>
        <w:t xml:space="preserve"> dok je u prethodnim godinama 13. rashod bio evidentiran na kontu 193 – Rashodi budućih razdoblja. Navedena promjena dovela je do povećanja rashoda poslovanja u 2025. godini, pri čemu se radi o razlici u računovodstvenom tretmanu, a ne o stvarnom povećanju</w:t>
      </w:r>
      <w:r>
        <w:t xml:space="preserve"> obveza u odnosu na prethodnu godinu. Dodatni rast rashoda poslovanja odnosi se na povećanje materijalnih rashoda, koji su porasli za 55,7 %, prvenstveno zbog većeg obujma aktivnosti i korištenja većeg broja prostora.</w:t>
      </w:r>
    </w:p>
    <w:p w:rsidR="001C53FE" w:rsidRDefault="00551D15">
      <w:pPr>
        <w:jc w:val="both"/>
      </w:pPr>
      <w:r>
        <w:t>Rashodi za nabavu nefinancijske imovin</w:t>
      </w:r>
      <w:r>
        <w:t>e (razred 4) u 2025. godini iznose 30.613,32 EUR, što predstavlja smanjenje od 33,7 % u odnosu na 2024. godinu, kada su iznosili 46.197,06 EUR. Smanjenje rashoda razreda 4 rezultat je izostanka većih kapitalnih ulaganja, dok su sredstva u izvještajnoj godi</w:t>
      </w:r>
      <w:r>
        <w:t>ni bila usmjerena na nabavu opreme i nematerijalne imovine, radi opremanja prostora i osiguravanja uvjeta za rad.</w:t>
      </w:r>
    </w:p>
    <w:p w:rsidR="001C53FE" w:rsidRDefault="00551D15">
      <w:pPr>
        <w:jc w:val="both"/>
      </w:pPr>
      <w:r>
        <w:t>Na temelju ostvarenih prihoda i rashoda, u 2025. godini iskazan je manjak prihoda poslovanja u iznosu od 194.947,91 EUR, dok je u prethodnoj g</w:t>
      </w:r>
      <w:r>
        <w:t>odini ostvaren višak prihoda u iznosu od 10.849,99 EUR. Pogoršanje rezultata poslovanja u 2025. godini posljedica je bržeg rasta rashoda poslovanja u odnosu na prihode, pri čemu je dio rasta rashoda posljedica računovodstvene promjene u evidentiranju rasho</w:t>
      </w:r>
      <w:r>
        <w:t>da za zaposlene, dok se preostali dio odnosi na povećani opseg poslovanja ustanove. </w:t>
      </w:r>
    </w:p>
    <w:p w:rsidR="001C53FE" w:rsidRDefault="00551D15">
      <w:r>
        <w:br/>
      </w:r>
    </w:p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11.813,67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11.813,66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Na kontu 6323 ostvareni su prihodi u iznosu od 11.813,66 EUR, što je na razini prethodne godine. Prihodi se odnose na sredstva ostvarena temeljem projekata financiranih iz programa Europske unije, a njihovo ostvarenje ovisi o dinamici provedbe projektnih a</w:t>
      </w:r>
      <w:r>
        <w:t>ktivnosti.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1.243.798,71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1.592.506,12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128,0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lastRenderedPageBreak/>
        <w:t>Prihodi na ovom kontu ostvareni su u iznosu od 1.592.506,12 EUR, što predstavlja povećanje od 28,0 % u odnosu na prethodnu godinu. Povećanje prihoda rezultat je povećanog broja zaposlenih, rasta rashoda za plaće i doprinose, kao i usklađenja osnovice i koe</w:t>
      </w:r>
      <w:r>
        <w:t>ficijenata plaća, a sredstva su doznačena iz državnog proračuna putem nadležnog Ministarstva znanosti, obrazovanja i mladih.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Na kontu 6362 ostvareni su prihodi u iznosu od 309,08 EUR, koji u prethodnoj godini nisu evidentirani. Prihodi se odnose na manje kapitalne pomoći, doznačene za financiranje nabave nefinancijske imovine u izvještajnom razdoblju.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27.982,74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U 2025. godini ostvareni su prihodi u iznosu od 27.982,74 EUR, dok u prethodnoj godini nisu bili ostvareni. Prihodi su povezani s provedbom projekta Rinkluzija8 - riječki model podrške učenicima s teškoćama financiranog iz EU sredstava, a njihovo ostvarenj</w:t>
      </w:r>
      <w:r>
        <w:t>e ovisi o dinamici prihvatljivih troškova i odobrenju nadležnog tijela.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Tekući </w:t>
            </w:r>
            <w:r>
              <w:rPr>
                <w:sz w:val="18"/>
              </w:rPr>
              <w:t>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Na kontu 6391 u 2025. godini nisu ostvareni prihodi, dok su u prethodnoj godini ostvareni u iznosu od 2.162,36 EUR. Razlika je posljedica izostanka prijenosa sredstava između proračunskih korisnika istog proračuna u izvještajnom razdoblju.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294,5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Prihodi na kontu 6526 – Ostali nespomenuti prihodi ostvareni su u iznosu od 4.807,00 EUR, što predstavlja povećanje u odnosu na prethodnu godinu. Navedeni prihodi u cijelosti se odnose na sufinanciranje prehrane učenika od strane Grada Rijeke. Povećanje pr</w:t>
      </w:r>
      <w:r>
        <w:t>ihoda rezultat je povećanog iznosa sredstava doznačenih od Grada Rijeke za navedenu namjenu u 2025. godini.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3.285,16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1314,1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Na kontu 6631 ostvareni su prihodi u iznosu od 3.285,16 EUR, što predstavlja povećanje u odnosu na prethodnu godinu. Prihodi se odnose na donacije pravnih i fizičkih osoba, namijenjene financiranju redovne djelatnosti i materijalnih rashoda ustanove.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Na kontu 6632 ostvareni su prihodi u iznosu od 3.000,00 EUR, dok su u prethodnoj godini iznosili 500,00 EUR. Povećanje se odnosi na donacije namijenjene nabavi dugotrajne nefinancijske imovine, prvenstveno opreme.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105.383,69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142.194,15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134,9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 xml:space="preserve">Prihodi na kontu 6711 ostvareni su u iznosu od 142.194,15 EUR, što predstavlja povećanje u odnosu na prethodnu godinu. Povećanje prihoda rezultat je povećanih potreba za </w:t>
      </w:r>
      <w:r>
        <w:lastRenderedPageBreak/>
        <w:t>financiranjem rashoda poslovanja, osobito materijalnih rashoda i rashoda za zaposlene,</w:t>
      </w:r>
      <w:r>
        <w:t xml:space="preserve"> jer se sve veći broj pomoćnika u nastavi uključuje u rad.</w:t>
      </w:r>
      <w:r>
        <w:br/>
        <w:t>Osim toga, od početka školske godine 2025./2026. Centar za autizam Rijeka koristi i dodatnu lokaciju u Ulici Dolac za provođenje usluga odgoja, obrazovanja i rehabilitacije učenika, čime se osigura</w:t>
      </w:r>
      <w:r>
        <w:t>va širi prostor za rad s korisnicima i poboljšava kvaliteta pružene usluge.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</w:t>
            </w:r>
            <w:r>
              <w:rPr>
                <w:sz w:val="18"/>
              </w:rPr>
              <w:t xml:space="preserve">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46.362,89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18.204,54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39,3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Na kontu 6712 ostvareni su prihodi u iznosu od 18.204,54 EUR, što predstavlja smanjenje u odnosu na prethodnu godinu. Smanjenje je posljedica manjeg opsega ulaganja u nefinancijsku imovinu u 2025. godini.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 xml:space="preserve">Prihodi na kontu 683 – Ostali prihodi ostvareni su u iznosu od 4.258,05 EUR. Navedeni prihodi pretežito se odnose na refundaciju štete od </w:t>
      </w:r>
      <w:proofErr w:type="spellStart"/>
      <w:r>
        <w:t>kasko</w:t>
      </w:r>
      <w:proofErr w:type="spellEnd"/>
      <w:r>
        <w:t xml:space="preserve"> osiguranja, dok se iznos od 33,50 EUR odnosi na otpis obveze.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980.178,76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1.405.866,66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143,4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Rashodi za plaće u 2025. godini ostvareni su u iznosu od 1.405.866,66 EUR, što predstavlja povećanje od 43,4 % u odnosu na prethodnu godinu. Povećanje rashoda na ovom kontu prvenstveno je rezultat povećanog broja zaposlenih i većeg opsega rada, kao i širen</w:t>
      </w:r>
      <w:r>
        <w:t>ja djelatnosti Centra. Najveći dio rashoda odnosi se na plaće za redovan rad, koje su porasle zbog većeg broja sati rada i zapošljavanja novih djelatnika. Istodobno je zabilježen i značajan rast plaća za prekovremeni rad, što upućuje na povećane operativne</w:t>
      </w:r>
      <w:r>
        <w:t xml:space="preserve"> potrebe i privremeno opterećenje postojećih kapaciteta. Rashodi za posebne uvjete rada također bilježe rast, što je povezano sa specifičnim uvjetima rada u sustavu obrazovanja učenika s teškoćama.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43.543,22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55.048,07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Ostali rashodi za zaposlene u 2025. godini ostvareni su u iznosu od 55.048,07 EUR, što predstavlja povećanje u odnosu na prethodnu godinu. Rashodi na ovom kontu odnose se na isplate prava zaposlenika sukladno važećim propisima i kolektivnim ugovorima.</w:t>
      </w:r>
      <w:r>
        <w:br/>
        <w:t>Najv</w:t>
      </w:r>
      <w:r>
        <w:t>eći dio rashoda čine darovi zaposlenicima te isplate regresa za godišnji odmor, zatim nagrade zaposlenicima, dok se manji dio odnosi na naknade za bolest, invalidnost i smrtni slučaj, kao i na ostale nenavedene rashode za zaposlene. Struktura rashoda na ov</w:t>
      </w:r>
      <w:r>
        <w:t>om kontu u skladu je s povećanim brojem zaposlenih i redovitim izvršavanjem obveza poslodavca prema zaposlenicima.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</w:t>
            </w:r>
            <w:r>
              <w:rPr>
                <w:b/>
                <w:sz w:val="18"/>
              </w:rPr>
              <w:t>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158.712,49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236.011,72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148,7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Rashodi za doprinose na plaće ostvareni su u iznosu od 236.011,72 EUR, što predstavlja povećanje od 48,7 % u odnosu na prethodnu godinu. Povećanje rashoda izravna je posljedica rasta bruto plaća zaposlenika, budući da se doprinosi obračunavaju kao postotak</w:t>
      </w:r>
      <w:r>
        <w:t xml:space="preserve"> na isplaćene plaće. Najveći dio rashoda odnosi se na doprinose za obvezno zdravstveno osiguranje, a kretanje ove skupine rashoda u potpunosti prati kretanje rashoda za plaće.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30.585,40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41.962,11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137,2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Rashodi na kontu 321 – Naknade troškova zaposlenima u 2025. godini ostvareni su u iznosu od 41.962,11 EUR, što predstavlja povećanje u odnosu na prethodnu godinu. Povećanje rashoda prvenstveno se odnosi na naknade troškova prijevoza na posao i s posla, koj</w:t>
      </w:r>
      <w:r>
        <w:t xml:space="preserve">e su porasle zbog povećanog broja zaposlenih, ali i zbog povećanja cijene javnog prijevoza od početka 2025. godine. Rashodi za službena putovanja i stručno usavršavanje zaposlenika ostvareni su u okviru uobičajenih potreba i ne bilježe značajna odstupanja </w:t>
      </w:r>
      <w:r>
        <w:t>u odnosu na prethodnu godinu.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45.976,21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55.839,90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Rashodi za materijal i energiju ostvareni su u iznosu od 55.839,90 EUR, što predstavlja povećanje od 21,5 % u odnosu na prethodnu godinu. Povećanje rashoda prvenstveno se odnosi na materijal i sirovine, koji se koriste u neposrednom radu s učenicima, kao i</w:t>
      </w:r>
      <w:r>
        <w:t xml:space="preserve"> na troškove energije, koji su porasli zbog povećanog korištenja prostora i općeg rasta cijena energenata. Istodobno je zabilježeno smanjenje rashoda za materijal i dijelove za održavanje, dok su rashodi za sitni inventar značajno porasli, što upućuje na o</w:t>
      </w:r>
      <w:r>
        <w:t>premanje prostora i radnih mjesta u skladu s povećanim potrebama rada.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89.582,16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149.244,47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166,6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Rashodi za usluge u 2025. godini ostvareni su u iznosu od 149.244,47 EUR, što predstavlja značajno povećanje u odnosu na prethodnu godinu. Povećanje rashoda na ovom kontu rezultat je povećanog obujma aktivnosti Centra, većeg broja korisnika te organizacijs</w:t>
      </w:r>
      <w:r>
        <w:t>kog i prostornog širenja rada tijekom godine. Najveći dio rashoda odnosi se na usluge prijevoza, koje su znatno porasle zbog povećanog broja učenika uključenih u obrazovne programe, učestalijih prijevoza učenika i pratnje te većeg broja relacija tijekom šk</w:t>
      </w:r>
      <w:r>
        <w:t>olske godine. U strukturi rashoda vidljive su česte isplate za prijevoz učenika, pratnje i roditelja, kao i korištenje taksi usluga, što izravno prati povećani obuhvat korisnika i potrebu osiguravanja dostupnosti usluga obrazovanja i rehabilitacije. Značaj</w:t>
      </w:r>
      <w:r>
        <w:t>an rast rashoda zabilježen je i kod zakupnina i najamnina, što je povezano s činjenicom da Centar od početka školske godine koristi dodatni prostor za provođenje djelatnosti, uključujući novu lokaciju, čime su povećani mjesečni troškovi najma. Uz navedeno,</w:t>
      </w:r>
      <w:r>
        <w:t xml:space="preserve"> povećani su i rashodi za komunalne usluge, koji prate korištenje većeg broja prostora i povećani intenzitet njihova korištenja. Rashodi za zdravstvene usluge porasli su zbog provedbe obveznih i preventivnih zdravstvenih pregleda zaposlenika, dok su rashod</w:t>
      </w:r>
      <w:r>
        <w:t>i za intelektualne i osobne usluge povećani zbog povremenog angažmana vanjskih suradnika i stručnih usluga potrebnih za provedbu programa i organizaciju rada. Također su povećani rashodi za računalne i komunikacijske usluge, što je povezano s održavanjem i</w:t>
      </w:r>
      <w:r>
        <w:t>nformatičkih sustava, korištenjem elektroničkih usluga i redovitim mjesečnim troškovima telekomunikacija. Rashodi za usluge tekućeg i investicijskog održavanja ostvareni su u okviru redovitih potreba i odnose se na manje popravke, održavanje opreme i prost</w:t>
      </w:r>
      <w:r>
        <w:t xml:space="preserve">ora, dok se ostale usluge odnose na razne operativne troškove nužne za nesmetano funkcioniranje ustanove </w:t>
      </w:r>
      <w:r>
        <w:lastRenderedPageBreak/>
        <w:t>tijekom godine. Ukupno povećanje rashoda na kontu 323 u skladu je s povećanim opsegom rada, prostornim širenjem i rastom potreba korisnika Centra.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9.367,90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26.206,37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279,7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Rashodi na kontu 329 – Ostali nespomenuti rashodi poslovanja u 2025. godini ostvareni su u iznosu od 26.206,37 EUR, što predstavlja značajno povećanje u odnosu na prethodnu godinu. Povećanje rashoda na ovom kontu rezultat je više različitih čimbenika povez</w:t>
      </w:r>
      <w:r>
        <w:t>anih s redovitim poslovanjem, proširenjem prostora i dodatnim administrativnim obvezama Centra. Značajan dio rashoda odnosi se na novčanu naknadu poslodavca zbog nezapošljavanja osoba s invaliditetom, koja se tijekom godine evidentira mjesečno, a čije je k</w:t>
      </w:r>
      <w:r>
        <w:t>njiženje vidljivo kroz kontinuirane iznose tijekom cijele godine. Ova stavka čini važan udio ukupnog iznosa i predstavlja zakonsku obvezu poslodavca. Unutar ove skupine rashoda evidentirani su i troškovi komunalnih naknada, koji se odnose na redovito koriš</w:t>
      </w:r>
      <w:r>
        <w:t>tenje prostora, a njihov rast povezan je s korištenjem većeg broja lokacija tijekom godine. Dodatno povećanje rashoda vidljivo je kod usluga čišćenja, koje su se tijekom godine odnosile na više objekata, uključujući i novu lokaciju u Ulici Dolac, što je re</w:t>
      </w:r>
      <w:r>
        <w:t>zultiralo povećanim troškovima održavanja čistoće prostora. U okviru ostalih nespomenutih rashoda evidentirani su i rashodi za osiguranje, uključujući police osiguranja imovine i vozila (</w:t>
      </w:r>
      <w:proofErr w:type="spellStart"/>
      <w:r>
        <w:t>kasko</w:t>
      </w:r>
      <w:proofErr w:type="spellEnd"/>
      <w:r>
        <w:t>, osiguranje od požara i loma), što predstavlja redovite troškov</w:t>
      </w:r>
      <w:r>
        <w:t>e zaštite imovine Centra. Također su zabilježeni i pojedinačni rashodi za informatičke i administrativne usluge, poput izrade i korištenja web aplikacija, izvoza podataka te provođenja internog audita, koji su bili nužni za organizaciju rada i ispunjavanje</w:t>
      </w:r>
      <w:r>
        <w:t xml:space="preserve"> regulatornih obveza.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Ostale naknade građanima i kućanstvima iz proračuna (šifre 3721 </w:t>
            </w:r>
            <w:r>
              <w:rPr>
                <w:sz w:val="18"/>
              </w:rPr>
              <w:t>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1.784,10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139,0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Rashodi na kontu 372 – Ostale naknade građanima i kućanstvima iz proračuna u 2025. godini ostvareni su u iznosu od 2.479,86 EUR. Rashodi se u cijelosti odnose na nabavu udžbenika za učenike, koji su osigurani kao naknade u naravi u okviru provođenja obrazo</w:t>
      </w:r>
      <w:r>
        <w:t>vnih programa Centra.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6.719,52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29.152,57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433,8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 xml:space="preserve">Rashodi za nabavu postrojenja i opreme u 2025. godini ostvareni su u iznosu od 29.152,57 EUR, što predstavlja značajno povećanje u odnosu na prethodnu godinu. Povećanje rashoda na ovom kontu rezultat je ulaganja u opremanje prostora i jačanje materijalnih </w:t>
      </w:r>
      <w:r>
        <w:t>uvjeta rada, osobito u vezi s uvođenjem i opremanjem dodatne lokacije u Ulici Dolac. U strukturi rashoda najveći dio odnosi se na nabavu namještaja i opreme za opremanje prostora, uključujući opremu nabavljenu za potrebe nove lokacije (ormari, stolovi, ele</w:t>
      </w:r>
      <w:r>
        <w:t>menti i ostala oprema), kao i na nabavu informatičke i komunikacijske opreme, poput prijenosnih računala, pametnih ploča i komunikacijskih uređaja. Također su evidentirana ulaganja u specijaliziranu tehničku opremu potrebnu za provođenje obrazovnih i rehab</w:t>
      </w:r>
      <w:r>
        <w:t>ilitacijskih aktivnosti, kao i manja ulaganja u opremu za sigurnost i nadzor prostora, uključujući kamere i pripadajuću ugradnju. 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Rashodi na kontu 424 ostvareni su u iznosu od 545,75 EUR i odnose se na nabavu knjiga potrebnih za rad i provođenje obrazovnih aktivnosti. U prethodnoj godini na ovom kontu nije bilo rashoda.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Rashodi na kontu 426 – Nematerijalna proizvedena imovina u 2025. godini ostvareni su u iznosu od 915,00 EUR. Rashodi se odnose na nabavu računalnog programa (softvera) potrebnog za obavljanje i unapređenje poslovnih procesa Centra.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 xml:space="preserve">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131.097,61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143.047,68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Proizvedena dugotrajna imovina na dan 31. prosinca 2025. godine iskazana je s neto stanjem od 11.950,07 EUR. Tijekom 2025. godine evidentirana su povećanja vrijednosti proizvedene dugotrajne imovine u ukupnom iznosu od 30.613,32 EUR, koja se odnose na naba</w:t>
      </w:r>
      <w:r>
        <w:t>vu opreme, knjiga i nematerijalne imovine, prvenstveno za potrebe redovnog rada i opremanja dodatne lokacije. Istodobno je tijekom godine proveden obračun ispravka vrijednosti (amortizacije) u ukupnom iznosu od 18.663,25 EUR, čime je umanjena knjigovodstve</w:t>
      </w:r>
      <w:r>
        <w:t>na vrijednost imovine. Promjene na kontu 02 u cijelosti su rezultat nabave dugotrajne imovine i redovitog obračuna amortizacije.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(šifre 041+042-049)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 xml:space="preserve">Sitni inventar i </w:t>
      </w:r>
      <w:proofErr w:type="spellStart"/>
      <w:r>
        <w:t>autogume</w:t>
      </w:r>
      <w:proofErr w:type="spellEnd"/>
      <w:r>
        <w:t xml:space="preserve"> na dan 31. prosinca 2025. godine iskazani su u iznosu od 0,00 EUR, budući da se sitni inventar u cijelosti otpisuje u trenutku nabave. Tijekom 2025. godine evidentirana je nabava sitnog inventara i </w:t>
      </w:r>
      <w:proofErr w:type="spellStart"/>
      <w:r>
        <w:t>autoguma</w:t>
      </w:r>
      <w:proofErr w:type="spellEnd"/>
      <w:r>
        <w:t xml:space="preserve"> u ukupnom iznosu od 3.2</w:t>
      </w:r>
      <w:r>
        <w:t xml:space="preserve">17,21 EUR, pri čemu su rashodi i istovremeni otpis evidentirani u istom iznosu. Nabava se odnosila na </w:t>
      </w:r>
      <w:proofErr w:type="spellStart"/>
      <w:r>
        <w:t>autogume</w:t>
      </w:r>
      <w:proofErr w:type="spellEnd"/>
      <w:r>
        <w:t xml:space="preserve"> za službeno vozilo te na razni sitni inventar i opremu, najvećim dijelom za potrebe redovnog rada i opremanja dodatne lokacije u Ulici Dolac.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8.559,69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29,4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Na kontu 12 na dan 31. prosinca 2025. godine iskazano je stanje u iznosu od 2.513,71 EUR. Stanje na kontu 12 na kraju izvještajnog razdoblja odnosi se na otvorena potraživanja čija se naplata odnosno zatvaranje očekuje u sljedećem razdoblju.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29.651,85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184.510,43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622,3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Potraživanja za prihode poslovanja na dan 31. prosinca 2025. godine iskazana su u iznosu od 184.510,43 EUR. Tijekom godine na ovom kontu evidentirana su potraživanja koja se odnose na obračunate, a nenaplaćene prihode poslovanja, pri čemu se najveći dio od</w:t>
      </w:r>
      <w:r>
        <w:t xml:space="preserve">nosi na pomoći iz proračuna i pomoći temeljem prijenosa EU sredstava, uključujući sredstva doznačena putem državnog proračuna te sredstva za provedbu projekata. Značajan dio potraživanja odnosi se i na prihode za posebne namjene, kao što su sufinanciranje </w:t>
      </w:r>
      <w:r>
        <w:t xml:space="preserve">prehrane učenika od strane Grada Rijeke i MZO-a, prihode od projekata (npr. </w:t>
      </w:r>
      <w:proofErr w:type="spellStart"/>
      <w:r>
        <w:t>Rinkluzija</w:t>
      </w:r>
      <w:proofErr w:type="spellEnd"/>
      <w:r>
        <w:t>) te ostale namjenske prihode obračunate za prosinac 2025. godine. Stanje potraživanja na kraju izvještajnog razdoblja najvećim se dijelom odnosi na potraživanja za rasho</w:t>
      </w:r>
      <w:r>
        <w:t>de obračunate u prosincu 2025. godine, uključujući rashode za zaposlene i usluge prijevoza, čija se naplata očekuje u sljedećem izvještajnom razdoblju, sukladno uobičajenoj dinamici doznačivanja sredstava.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109.102,66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S obzirom na izmjene u računovodstvenom planu propisane novim Pravilnikom o proračunskom računovodstvu, skupina 19 (Odgođeno plaćanje rashoda i prihodi budućih razdoblja) prestala je biti aktivna u 2025. godini. Zbog navedenog usklađenja s novim propisima,</w:t>
      </w:r>
      <w:r>
        <w:t xml:space="preserve"> podaci na ovoj poziciji više se ne iskazuju.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131.486,09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215.125,48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163,6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Ukupne obveze na dan 31. prosinca 2025. godine iznose 215.125,48 EUR, što predstavlja povećanje u odnosu na stanje na početku izvještajnog razdoblja, kada su obveze iznosile 131.486,09 EUR. Povećanje obveza rezultat je povećanog opsega poslovanja tijekom g</w:t>
      </w:r>
      <w:r>
        <w:t>odine te obračuna rashoda na kraju izvještajnog razdoblja. Najveći dio obveza odnosi se na obveze za rashode poslovanja, prvenstveno obveze prema zaposlenima i obveze za materijalne rashode, koje proizlaze iz redovitog poslovanja i obračuna rashoda u prosi</w:t>
      </w:r>
      <w:r>
        <w:t xml:space="preserve">ncu 2025. godine. Manji dio obveza odnosi se na obveze za predujmove i na međusobne obveze subjekata općeg </w:t>
      </w:r>
      <w:r>
        <w:lastRenderedPageBreak/>
        <w:t>proračuna. Sve obveze iskazane na kraju izvještajnog razdoblja su nedospjele, te na dan 31. prosinca 2025. godine nema dospjelih, a nepodmirenih obve</w:t>
      </w:r>
      <w:r>
        <w:t>za. Podmirenje iskazanih obveza očekuje se u sljedećem izvještajnom razdoblju, sukladno ugovorenim rokovima i uobičajenoj dinamici plaćanja.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</w:t>
            </w:r>
            <w:r>
              <w:rPr>
                <w:sz w:val="18"/>
              </w:rPr>
              <w:t xml:space="preserve"> izvori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131.097,59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143.047,68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Vlastiti izvori iz proračuna na dan 31. prosinca 2025. godine iskazani su u okviru ove skupine sukladno knjigovodstvenoj vrijednosti dugotrajne imovine financirane iz proračunskih sredstava. Kretanja na ovom kontu tijekom izvještajnog razdoblja povezana su</w:t>
      </w:r>
      <w:r>
        <w:t xml:space="preserve"> s promjenama vrijednosti nefinancijske imovine, odnosno s obračunom ispravka vrijednosti (amortizacije) te s promjenama vrijednosti imovine financirane iz proračuna. U 2025. godini nije bilo promjena koje bi značajno utjecale na strukturu vlastitih izvora</w:t>
      </w:r>
      <w:r>
        <w:t xml:space="preserve"> iz proračuna, a stanje na kraju razdoblja odražava usklađenje vrijednosti imovine i pripadajućih izvora financiranja.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</w:t>
            </w:r>
            <w:r>
              <w:rPr>
                <w:sz w:val="18"/>
              </w:rPr>
              <w:t xml:space="preserve">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15.828,13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-184.097,92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-1163,1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Višak/manjak prihoda treba sadržavati obrazloženje provedene korekcije rezultata propisane Pravilnikom o proračunskom računovodstvu. Korekcija se najčešće odnosi na korekciju rezultata redovnog poslovanja zbog kapitalnih prijenosa sredstava kojima su finan</w:t>
      </w:r>
      <w:r>
        <w:t>cirane nabave nefinancijske imovine. Ukoliko se provodila korekcija, postoji odstupanje od iskazanih pozicija u obrascu PR-RAS i Bilanci. Podaci u bilanci iskazani su nakon obavezne korekcije rezultata sukladno Pravilnika o proračunskom računovodstvu te je</w:t>
      </w:r>
      <w:r>
        <w:t xml:space="preserve"> iskazan manjak prihoda poslovanja u iznosu od 184.098,00 EUR i višak prihoda od nefinancijske imovine u iznosu od 0,08 EUR. Temeljem navedenog postoji odstupanje u odnosu na obrazac PR-RAS. Tijekom 2025. godine na računima kapitalnih prijenosa evidentiran</w:t>
      </w:r>
      <w:r>
        <w:t>a su sredstva u iznosu od 20.113,42 EUR koja su utrošena za nabavu dugotrajne nefinancijske imovine.</w:t>
      </w:r>
    </w:p>
    <w:p w:rsidR="001C53FE" w:rsidRDefault="00551D15">
      <w:pPr>
        <w:jc w:val="both"/>
      </w:pPr>
      <w:r>
        <w:t>Na kontu 922 – Rezultat poslovanja na dan 31. prosinca 2025. godine iskazan je manjak prihoda poslovanja, koji je rezultat odnosa ostvarenih prihoda i rash</w:t>
      </w:r>
      <w:r>
        <w:t>oda u izvještajnoj godini. Manjak prihoda nastao je zbog bržeg rasta rashoda poslovanja u odnosu na prihode, pri čemu je dio povećanja rashoda posljedica promjene u načinu evidentiranja rashoda za zaposlene sukladno važećem Računskom planu, a dio povećanog</w:t>
      </w:r>
      <w:r>
        <w:t xml:space="preserve"> opsega poslovanja ustanove. Stanje rezultata poslovanja na kraju izvještajnog razdoblja bit će raspoređeno i pokriveno sukladno Odluci o raspodjeli rezultata poslovanja, prema izvorima financiranja i važećim propisima.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b/>
          <w:sz w:val="28"/>
        </w:rPr>
        <w:t>Izvještaj o rashodima prema funkcij</w:t>
      </w:r>
      <w:r>
        <w:rPr>
          <w:b/>
          <w:sz w:val="28"/>
        </w:rPr>
        <w:t>skoj klasifikaciji</w:t>
      </w:r>
    </w:p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1.405.945,30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2.003.308,41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142,5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Funkcijska klasifikacija sadrži rashode razvrstane prema njihovoj namjeni. Prema funkcijskoj klasifikaciji razvrstavaju se rashodi poslovanja razreda 3 i rashodi za nabavu nefinancijske imovine razreda 4. Šifra 09 Obrazovanje - ostvarenje rashoda u tekućoj</w:t>
      </w:r>
      <w:r>
        <w:t xml:space="preserve"> godini 42,5 % veće je nego prethode godine i iznosi ukupno 2.003.308,41 EUR, a iz izvještaja je moguće vidjeti da su promjene evidentirane na:</w:t>
      </w:r>
    </w:p>
    <w:p w:rsidR="001C53FE" w:rsidRDefault="00551D15">
      <w:r>
        <w:t>·       0912 Osnovno obrazovanje.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1C5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18.663,25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Prema Pravilniku o financijskom izvještavanju, u Bilješkama uz Izvještaj o promjenama u vrijednosti i obujmu imovine i obveza objašnjavaju se značajnije promjene u vrijednosti i obujmu imovine i obveza. Smanjenje vrijednosti imovine evidentirano je na stav</w:t>
      </w:r>
      <w:r>
        <w:t>ci Proizvedene dugotrajne imovine u iznosu od 18.663,25 EUR radi provedenog ispravka vrijednosti dugotrajne nefinancijske imovine koje se prema novom Pravilniku provodi preko podskupine 915.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</w:t>
            </w:r>
            <w:r>
              <w:rPr>
                <w:b/>
                <w:sz w:val="18"/>
              </w:rPr>
              <w:t>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1C5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Na kontu 9152 – Promjene u vrijednosti i obujmu obveza evidentirano je smanjenje u iznosu od 36,63 EUR, koje se odnosi isključivo na promjene u vrijednosti obveza za rashode poslovanja. 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1C5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131.486,09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Stanje obveza na dan 1. siječnja 2025. godine iznosilo je 131.486,09 EUR, što odgovara stanju obveza iskazanom u Izvještaju o obvezama na dan 31. prosinca 2024. godine. Obveze su se odnosile pretežito na obveze za rashode poslovanja, dok dospjelih, a nepod</w:t>
      </w:r>
      <w:r>
        <w:t>mirenih obveza na početku izvještajnog razdoblja nije bilo.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1C5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1.990.899,02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Tijekom 2025. godine evidentirano je povećanje obveza u iznosu od 1.990.899,02 EUR. Povećanje obveza odnosi se prvenstveno na obveze za rashode poslovanja, a najveći dio čine obveze prema zaposlenima te obveze za materijalne rashode, nastale sukladno redov</w:t>
      </w:r>
      <w:r>
        <w:t>nom poslovanju i obračunu rashoda tijekom godine. Manji dio povećanja odnosi se na obveze za nabavu nefinancijske imovine te obveze za predujmove, depozite i tuđe prihode.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1C5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Podmirene </w:t>
            </w:r>
            <w:r>
              <w:rPr>
                <w:sz w:val="18"/>
              </w:rPr>
              <w:t>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1.907.259,63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Tijekom 2025. godine podmirene su obveze u ukupnom iznosu od 1.907.259,63 EUR. Podmirenje se odnosi prvenstveno na obveze za rashode poslovanja, osobito obveze prema zaposlenima i dobavljačima, kao i na obveze za nabavu nefinancijske imovine te obveze za t</w:t>
      </w:r>
      <w:r>
        <w:t>uđe prihode i predujmove.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1C5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215.125,48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lastRenderedPageBreak/>
        <w:t>Stanje obveza na dan 31. prosinca 2025. godine iznosi 215.125,48 EUR. Povećanje stanja obveza u odnosu na početak godine posljedica je povećanog opsega poslovanja i obračuna rashoda na kraju izvještajnog razdoblja, a odnosi se pretežito na nedospjele obvez</w:t>
      </w:r>
      <w:r>
        <w:t>e.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1C5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>Na dan 31. prosinca 2025. godine nisu iskazane dospjele, a nepodmirene obveze. Sve obveze evidentirane na kraju izvještajnog razdoblja su nedospjele.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C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5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1C5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</w:t>
            </w:r>
            <w:r>
              <w:rPr>
                <w:sz w:val="18"/>
              </w:rPr>
              <w:t>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215.125,48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53FE" w:rsidRDefault="00551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C53FE" w:rsidRDefault="001C53FE">
      <w:pPr>
        <w:spacing w:after="0"/>
      </w:pPr>
    </w:p>
    <w:p w:rsidR="001C53FE" w:rsidRDefault="00551D15">
      <w:pPr>
        <w:jc w:val="both"/>
      </w:pPr>
      <w:r>
        <w:t xml:space="preserve">Stanje nedospjelih obveza na dan 31. prosinca 2025. godine iznosi 215.125,48 EUR. Navedeni iznos odnosi se na nedospjele obveze za zaposlene, obveze za materijalne rashode, obveze za EU predujmove, kao i na međusobne obveze subjekata općeg proračuna, koje </w:t>
      </w:r>
      <w:r>
        <w:t>su na kraju izvještajnog razdoblja iskazane kao nedospjele. Sve obveze evidentirane su sukladno važećim propisima, a njihovo podmirenje očekuje se u sljedećem izvještajnom razdoblju, u skladu s ugovorenim rokovima i dinamikom doznačivanja sredstava.</w:t>
      </w:r>
    </w:p>
    <w:p w:rsidR="001C53FE" w:rsidRDefault="001C53FE"/>
    <w:p w:rsidR="001C53FE" w:rsidRDefault="00551D15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41.</w:t>
      </w:r>
    </w:p>
    <w:p w:rsidR="001C53FE" w:rsidRDefault="00551D15">
      <w:pPr>
        <w:spacing w:line="240" w:lineRule="auto"/>
        <w:jc w:val="both"/>
      </w:pPr>
      <w:r>
        <w:rPr>
          <w:b/>
        </w:rPr>
        <w:t>EU izvještaj</w:t>
      </w:r>
    </w:p>
    <w:p w:rsidR="001C53FE" w:rsidRDefault="00551D15">
      <w:pPr>
        <w:jc w:val="both"/>
      </w:pPr>
      <w:r>
        <w:t>U 2025. godini u okviru izvora financiranja 561 – Europski socijalni fond plus ostvareni su prihodi u iznosu od 27.982,74 EUR, koji se u cijelosti odnose na tekuće pomoći iz državnog proračuna temeljem prijenosa EU sredstava (konto 638</w:t>
      </w:r>
      <w:r>
        <w:t xml:space="preserve">11) za provedbu projekta </w:t>
      </w:r>
      <w:proofErr w:type="spellStart"/>
      <w:r>
        <w:t>Rinkluzija</w:t>
      </w:r>
      <w:proofErr w:type="spellEnd"/>
      <w:r>
        <w:t xml:space="preserve"> 8 – riječki model podrške učenicima s teškoćama.</w:t>
      </w:r>
    </w:p>
    <w:p w:rsidR="001C53FE" w:rsidRDefault="00551D15">
      <w:pPr>
        <w:jc w:val="both"/>
      </w:pPr>
      <w:r>
        <w:t>Rashodi financirani iz navedenog izvora u 2025. godini ostvareni su u ukupnom iznosu od 59.337,83 EUR. Najveći dio rashoda odnosi se na rashode za zaposlene u iznosu od 56</w:t>
      </w:r>
      <w:r>
        <w:t>.254,67 EUR, od čega se 44.118,89 EUR odnosi na bruto plaće, 4.856,00 EUR na ostale rashode za zaposlene te 7.279,78 EUR na doprinose na plaće. Preostali dio rashoda u iznosu od 3.083,16 EUR odnosi se na materijalne rashode, i to ponajprije na naknade troš</w:t>
      </w:r>
      <w:r>
        <w:t>kova prijevoza zaposlenima u iznosu od 2.603,16 EUR te na zdravstvene usluge u iznosu od 480,00 EUR.</w:t>
      </w:r>
    </w:p>
    <w:p w:rsidR="001C53FE" w:rsidRDefault="00551D15">
      <w:pPr>
        <w:jc w:val="both"/>
      </w:pPr>
      <w:r>
        <w:t>Razlika između ostvarenih prihoda i rashoda po izvoru financiranja 561 u 2025. godini posljedica je različite dinamike nastanka rashoda i doznačivanja sred</w:t>
      </w:r>
      <w:r>
        <w:t xml:space="preserve">stava, budući da se </w:t>
      </w:r>
      <w:r>
        <w:lastRenderedPageBreak/>
        <w:t xml:space="preserve">rashodi projekta evidentiraju sukladno obračunskom načelu, dok se prihodi iz EU sredstava evidentiraju po odobrenju završnog izvješća nadležnog tijela. Na dan 31. prosinca 2025. godine dio nastalih rashoda po projektu </w:t>
      </w:r>
      <w:proofErr w:type="spellStart"/>
      <w:r>
        <w:t>Rinkluzija</w:t>
      </w:r>
      <w:proofErr w:type="spellEnd"/>
      <w:r>
        <w:t xml:space="preserve"> nije jo</w:t>
      </w:r>
      <w:r>
        <w:t>š nadoknađen, a usklađenje prihoda i rashoda očekuje se u sljedećem izvještajnom razdoblju, sukladno dinamici provedbe projekta i odobravanja sredstava.</w:t>
      </w:r>
    </w:p>
    <w:p w:rsidR="001C53FE" w:rsidRDefault="001C53FE"/>
    <w:sectPr w:rsidR="001C5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FE"/>
    <w:rsid w:val="001C53FE"/>
    <w:rsid w:val="0055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9CD75-D1B8-4619-AE03-83F1769A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5074</Words>
  <Characters>28927</Characters>
  <Application>Microsoft Office Word</Application>
  <DocSecurity>0</DocSecurity>
  <Lines>241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Lovro Brozović</cp:lastModifiedBy>
  <cp:revision>2</cp:revision>
  <dcterms:created xsi:type="dcterms:W3CDTF">2026-02-02T07:35:00Z</dcterms:created>
  <dcterms:modified xsi:type="dcterms:W3CDTF">2026-02-02T07:35:00Z</dcterms:modified>
</cp:coreProperties>
</file>